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91CC6A">
      <w:pPr>
        <w:spacing w:line="560" w:lineRule="exact"/>
        <w:rPr>
          <w:rFonts w:asciiTheme="minorEastAsia" w:hAnsiTheme="minorEastAsia" w:eastAsiaTheme="minorEastAsia"/>
          <w:b/>
          <w:sz w:val="28"/>
          <w:szCs w:val="28"/>
        </w:rPr>
      </w:pPr>
      <w:r>
        <w:rPr>
          <w:rFonts w:hint="eastAsia" w:asciiTheme="minorEastAsia" w:hAnsiTheme="minorEastAsia" w:eastAsiaTheme="minorEastAsia"/>
          <w:b/>
          <w:sz w:val="28"/>
          <w:szCs w:val="28"/>
        </w:rPr>
        <w:t>附件：</w:t>
      </w:r>
    </w:p>
    <w:p w14:paraId="2914381D">
      <w:pPr>
        <w:spacing w:line="560" w:lineRule="exact"/>
        <w:jc w:val="center"/>
        <w:rPr>
          <w:rFonts w:asciiTheme="minorEastAsia" w:hAnsiTheme="minorEastAsia" w:eastAsiaTheme="minorEastAsia"/>
          <w:b/>
          <w:sz w:val="28"/>
          <w:szCs w:val="28"/>
        </w:rPr>
      </w:pPr>
      <w:r>
        <w:rPr>
          <w:rFonts w:hint="eastAsia" w:asciiTheme="majorEastAsia" w:hAnsiTheme="majorEastAsia" w:eastAsiaTheme="majorEastAsia"/>
          <w:b/>
          <w:sz w:val="44"/>
          <w:szCs w:val="44"/>
        </w:rPr>
        <w:t>合作机构评分</w:t>
      </w:r>
      <w:r>
        <w:rPr>
          <w:rFonts w:hint="eastAsia" w:asciiTheme="majorEastAsia" w:hAnsiTheme="majorEastAsia" w:eastAsiaTheme="majorEastAsia"/>
          <w:b/>
          <w:sz w:val="44"/>
          <w:szCs w:val="44"/>
          <w:lang w:eastAsia="zh-CN"/>
        </w:rPr>
        <w:t>参考</w:t>
      </w:r>
      <w:r>
        <w:rPr>
          <w:rFonts w:hint="eastAsia" w:asciiTheme="majorEastAsia" w:hAnsiTheme="majorEastAsia" w:eastAsiaTheme="majorEastAsia"/>
          <w:b/>
          <w:sz w:val="44"/>
          <w:szCs w:val="44"/>
        </w:rPr>
        <w:t>标准</w:t>
      </w:r>
    </w:p>
    <w:tbl>
      <w:tblPr>
        <w:tblStyle w:val="7"/>
        <w:tblW w:w="96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7430"/>
      </w:tblGrid>
      <w:tr w14:paraId="30F2C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2269" w:type="dxa"/>
            <w:vAlign w:val="center"/>
          </w:tcPr>
          <w:p w14:paraId="0EADC902">
            <w:pPr>
              <w:spacing w:line="460" w:lineRule="exact"/>
              <w:jc w:val="center"/>
              <w:rPr>
                <w:rFonts w:ascii="宋体" w:hAnsi="宋体"/>
                <w:b/>
                <w:sz w:val="30"/>
                <w:szCs w:val="30"/>
              </w:rPr>
            </w:pPr>
            <w:r>
              <w:rPr>
                <w:rFonts w:hint="eastAsia" w:ascii="宋体" w:hAnsi="宋体"/>
                <w:b/>
                <w:sz w:val="30"/>
                <w:szCs w:val="30"/>
              </w:rPr>
              <w:t>评分因素</w:t>
            </w:r>
          </w:p>
        </w:tc>
        <w:tc>
          <w:tcPr>
            <w:tcW w:w="7430" w:type="dxa"/>
            <w:vAlign w:val="center"/>
          </w:tcPr>
          <w:p w14:paraId="3BA7A890">
            <w:pPr>
              <w:spacing w:line="460" w:lineRule="exact"/>
              <w:jc w:val="center"/>
              <w:rPr>
                <w:rFonts w:ascii="宋体" w:hAnsi="宋体"/>
                <w:b/>
                <w:sz w:val="30"/>
                <w:szCs w:val="30"/>
              </w:rPr>
            </w:pPr>
            <w:r>
              <w:rPr>
                <w:rFonts w:hint="eastAsia" w:ascii="宋体" w:hAnsi="宋体"/>
                <w:b/>
                <w:sz w:val="30"/>
                <w:szCs w:val="30"/>
              </w:rPr>
              <w:t>评分标准</w:t>
            </w:r>
          </w:p>
        </w:tc>
      </w:tr>
      <w:tr w14:paraId="0A2EB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2" w:hRule="atLeast"/>
          <w:jc w:val="center"/>
        </w:trPr>
        <w:tc>
          <w:tcPr>
            <w:tcW w:w="2269" w:type="dxa"/>
            <w:vAlign w:val="center"/>
          </w:tcPr>
          <w:p w14:paraId="4D388067">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Ansi="宋体"/>
                <w:sz w:val="24"/>
                <w:szCs w:val="24"/>
              </w:rPr>
            </w:pPr>
            <w:r>
              <w:rPr>
                <w:rFonts w:hint="eastAsia" w:hAnsi="宋体"/>
                <w:sz w:val="24"/>
                <w:szCs w:val="24"/>
              </w:rPr>
              <w:t>项目运营管理方案</w:t>
            </w:r>
          </w:p>
          <w:p w14:paraId="56527550">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Ansi="宋体"/>
                <w:sz w:val="24"/>
              </w:rPr>
            </w:pPr>
            <w:r>
              <w:rPr>
                <w:rFonts w:hint="eastAsia" w:hAnsi="宋体"/>
                <w:sz w:val="24"/>
                <w:szCs w:val="24"/>
              </w:rPr>
              <w:t>（40分）</w:t>
            </w:r>
          </w:p>
        </w:tc>
        <w:tc>
          <w:tcPr>
            <w:tcW w:w="7430" w:type="dxa"/>
          </w:tcPr>
          <w:p w14:paraId="013750F4">
            <w:pPr>
              <w:pStyle w:val="3"/>
              <w:keepNext w:val="0"/>
              <w:keepLines w:val="0"/>
              <w:pageBreakBefore w:val="0"/>
              <w:widowControl w:val="0"/>
              <w:kinsoku/>
              <w:wordWrap/>
              <w:overflowPunct/>
              <w:topLinePunct w:val="0"/>
              <w:autoSpaceDE/>
              <w:autoSpaceDN/>
              <w:bidi w:val="0"/>
              <w:adjustRightInd/>
              <w:snapToGrid/>
              <w:spacing w:line="420" w:lineRule="exact"/>
              <w:textAlignment w:val="auto"/>
              <w:rPr>
                <w:rFonts w:hAnsi="宋体"/>
                <w:sz w:val="24"/>
              </w:rPr>
            </w:pPr>
            <w:r>
              <w:rPr>
                <w:rFonts w:hint="eastAsia" w:hAnsi="宋体"/>
                <w:sz w:val="24"/>
                <w:szCs w:val="24"/>
              </w:rPr>
              <w:t>1.</w:t>
            </w:r>
            <w:r>
              <w:rPr>
                <w:rFonts w:hint="eastAsia"/>
              </w:rPr>
              <w:t xml:space="preserve"> </w:t>
            </w:r>
            <w:r>
              <w:rPr>
                <w:rFonts w:hint="eastAsia" w:hAnsi="宋体"/>
                <w:sz w:val="24"/>
                <w:szCs w:val="24"/>
              </w:rPr>
              <w:t>根据响应人对项目理解及需求、功能定位及目标任务分析情况进行评审，</w:t>
            </w:r>
            <w:r>
              <w:rPr>
                <w:rFonts w:hint="eastAsia" w:hAnsi="宋体"/>
                <w:sz w:val="24"/>
              </w:rPr>
              <w:t>包括响应人是否深刻理解项目背景、意义和内容，对项目需求分析是否准确透彻、条理清晰，对项目重点工作和任务的分析是否准确到位、应对措施是否可行和高效，以及对磋商文件技术要求的响应程度等。（20分）</w:t>
            </w:r>
          </w:p>
          <w:p w14:paraId="1653D440">
            <w:pPr>
              <w:pStyle w:val="3"/>
              <w:keepNext w:val="0"/>
              <w:keepLines w:val="0"/>
              <w:pageBreakBefore w:val="0"/>
              <w:widowControl w:val="0"/>
              <w:kinsoku/>
              <w:wordWrap/>
              <w:overflowPunct/>
              <w:topLinePunct w:val="0"/>
              <w:autoSpaceDE/>
              <w:autoSpaceDN/>
              <w:bidi w:val="0"/>
              <w:adjustRightInd/>
              <w:snapToGrid/>
              <w:spacing w:line="420" w:lineRule="exact"/>
              <w:textAlignment w:val="auto"/>
              <w:rPr>
                <w:rFonts w:hAnsi="宋体"/>
                <w:sz w:val="24"/>
                <w:szCs w:val="24"/>
              </w:rPr>
            </w:pPr>
            <w:r>
              <w:rPr>
                <w:rFonts w:hint="eastAsia" w:hAnsi="宋体"/>
                <w:sz w:val="24"/>
                <w:szCs w:val="24"/>
              </w:rPr>
              <w:t>2.对比项目运营管理方案可行度，包括运营理念和模式的创新性和示范性，方案是否全面完整、是否合理、组织能力是否能实现、内容是否详实、条理性</w:t>
            </w:r>
            <w:r>
              <w:rPr>
                <w:rFonts w:hint="eastAsia" w:hAnsi="宋体"/>
                <w:sz w:val="24"/>
                <w:szCs w:val="24"/>
                <w:lang w:eastAsia="zh-CN"/>
              </w:rPr>
              <w:t>，是否具备</w:t>
            </w:r>
            <w:r>
              <w:rPr>
                <w:rFonts w:hint="eastAsia" w:hAnsi="宋体"/>
                <w:sz w:val="24"/>
                <w:szCs w:val="24"/>
              </w:rPr>
              <w:t>可操作性等。（20分）</w:t>
            </w:r>
          </w:p>
        </w:tc>
      </w:tr>
      <w:tr w14:paraId="5770A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75" w:hRule="atLeast"/>
          <w:jc w:val="center"/>
        </w:trPr>
        <w:tc>
          <w:tcPr>
            <w:tcW w:w="2269" w:type="dxa"/>
            <w:vAlign w:val="center"/>
          </w:tcPr>
          <w:p w14:paraId="60340423">
            <w:pPr>
              <w:pStyle w:val="3"/>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Ansi="宋体"/>
                <w:sz w:val="24"/>
                <w:szCs w:val="24"/>
              </w:rPr>
            </w:pPr>
            <w:r>
              <w:rPr>
                <w:rFonts w:hint="eastAsia" w:hAnsi="宋体"/>
                <w:sz w:val="24"/>
                <w:szCs w:val="24"/>
              </w:rPr>
              <w:t>拟委派团队成员专业水平情况</w:t>
            </w:r>
          </w:p>
          <w:p w14:paraId="120BC201">
            <w:pPr>
              <w:pStyle w:val="3"/>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Ansi="宋体"/>
                <w:sz w:val="24"/>
                <w:szCs w:val="24"/>
              </w:rPr>
            </w:pPr>
            <w:r>
              <w:rPr>
                <w:rFonts w:hint="eastAsia" w:hAnsi="宋体"/>
                <w:sz w:val="24"/>
              </w:rPr>
              <w:t>（2</w:t>
            </w:r>
            <w:r>
              <w:rPr>
                <w:rFonts w:hAnsi="宋体"/>
                <w:sz w:val="24"/>
              </w:rPr>
              <w:t>0</w:t>
            </w:r>
            <w:r>
              <w:rPr>
                <w:rFonts w:hint="eastAsia" w:hAnsi="宋体"/>
                <w:sz w:val="24"/>
              </w:rPr>
              <w:t>分）</w:t>
            </w:r>
          </w:p>
        </w:tc>
        <w:tc>
          <w:tcPr>
            <w:tcW w:w="7430" w:type="dxa"/>
          </w:tcPr>
          <w:p w14:paraId="28171628">
            <w:pPr>
              <w:pStyle w:val="3"/>
              <w:keepNext w:val="0"/>
              <w:keepLines w:val="0"/>
              <w:pageBreakBefore w:val="0"/>
              <w:widowControl w:val="0"/>
              <w:kinsoku/>
              <w:wordWrap/>
              <w:overflowPunct/>
              <w:topLinePunct w:val="0"/>
              <w:autoSpaceDE/>
              <w:autoSpaceDN/>
              <w:bidi w:val="0"/>
              <w:adjustRightInd/>
              <w:snapToGrid/>
              <w:spacing w:line="420" w:lineRule="exact"/>
              <w:textAlignment w:val="auto"/>
              <w:rPr>
                <w:rFonts w:hAnsi="宋体"/>
                <w:sz w:val="24"/>
              </w:rPr>
            </w:pPr>
            <w:r>
              <w:rPr>
                <w:rFonts w:hint="eastAsia" w:hAnsi="宋体"/>
                <w:sz w:val="24"/>
                <w:szCs w:val="24"/>
              </w:rPr>
              <w:t>1.对比项目</w:t>
            </w:r>
            <w:r>
              <w:rPr>
                <w:rFonts w:hint="eastAsia" w:hAnsi="宋体"/>
                <w:sz w:val="24"/>
              </w:rPr>
              <w:t>拟委派项目负责人的学历水平、专业水平、相关工作经验及管理能力等。（10分）</w:t>
            </w:r>
          </w:p>
          <w:p w14:paraId="5D770EF5">
            <w:pPr>
              <w:pStyle w:val="3"/>
              <w:keepNext w:val="0"/>
              <w:keepLines w:val="0"/>
              <w:pageBreakBefore w:val="0"/>
              <w:widowControl w:val="0"/>
              <w:kinsoku/>
              <w:wordWrap/>
              <w:overflowPunct/>
              <w:topLinePunct w:val="0"/>
              <w:autoSpaceDE/>
              <w:autoSpaceDN/>
              <w:bidi w:val="0"/>
              <w:adjustRightInd/>
              <w:snapToGrid/>
              <w:spacing w:line="420" w:lineRule="exact"/>
              <w:textAlignment w:val="auto"/>
              <w:rPr>
                <w:rFonts w:hAnsi="宋体"/>
                <w:sz w:val="24"/>
              </w:rPr>
            </w:pPr>
            <w:r>
              <w:rPr>
                <w:rFonts w:hint="eastAsia" w:hAnsi="宋体"/>
                <w:sz w:val="24"/>
                <w:szCs w:val="24"/>
              </w:rPr>
              <w:t>2.对比项目拟委派运营管理团队成员（不含项目负责人，下同）专业水平情况，包括运营管理服务团队成员从业经验（</w:t>
            </w:r>
            <w:r>
              <w:rPr>
                <w:rFonts w:hint="eastAsia" w:hAnsi="宋体"/>
                <w:sz w:val="24"/>
                <w:szCs w:val="24"/>
                <w:lang w:eastAsia="zh-CN"/>
              </w:rPr>
              <w:t>包括但不限于</w:t>
            </w:r>
            <w:r>
              <w:rPr>
                <w:rFonts w:hint="eastAsia" w:hAnsi="宋体"/>
                <w:sz w:val="24"/>
              </w:rPr>
              <w:t>人力资源服务</w:t>
            </w:r>
            <w:r>
              <w:rPr>
                <w:rFonts w:hint="eastAsia" w:hAnsi="宋体"/>
                <w:sz w:val="24"/>
                <w:szCs w:val="24"/>
              </w:rPr>
              <w:t>从业经验），学历高低情况以及团队成员结构，服务团队成员中为响应人全职工作人员的人员数量，获取相关业务开展资质等。（10分）</w:t>
            </w:r>
          </w:p>
        </w:tc>
      </w:tr>
      <w:tr w14:paraId="3F815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4" w:hRule="atLeast"/>
          <w:jc w:val="center"/>
        </w:trPr>
        <w:tc>
          <w:tcPr>
            <w:tcW w:w="2269" w:type="dxa"/>
            <w:vAlign w:val="center"/>
          </w:tcPr>
          <w:p w14:paraId="2154EF75">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宋体" w:hAnsi="宋体" w:cs="宋体"/>
                <w:sz w:val="24"/>
                <w:szCs w:val="24"/>
              </w:rPr>
            </w:pPr>
            <w:r>
              <w:rPr>
                <w:rFonts w:hint="eastAsia" w:ascii="宋体" w:hAnsi="宋体" w:cs="宋体"/>
                <w:sz w:val="24"/>
                <w:szCs w:val="24"/>
              </w:rPr>
              <w:t>运营管理经验及</w:t>
            </w:r>
          </w:p>
          <w:p w14:paraId="1EAEE1DC">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宋体" w:hAnsi="宋体" w:cs="宋体"/>
                <w:sz w:val="24"/>
                <w:szCs w:val="24"/>
              </w:rPr>
            </w:pPr>
            <w:r>
              <w:rPr>
                <w:rFonts w:hint="eastAsia"/>
                <w:sz w:val="24"/>
                <w:szCs w:val="24"/>
              </w:rPr>
              <w:t>履约能力</w:t>
            </w:r>
          </w:p>
          <w:p w14:paraId="7BBDF998">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宋体" w:hAnsi="宋体"/>
                <w:sz w:val="24"/>
                <w:szCs w:val="24"/>
              </w:rPr>
            </w:pPr>
            <w:r>
              <w:rPr>
                <w:rFonts w:hint="eastAsia" w:ascii="宋体" w:hAnsi="宋体" w:cs="宋体"/>
                <w:sz w:val="24"/>
                <w:szCs w:val="24"/>
              </w:rPr>
              <w:t>（25分）</w:t>
            </w:r>
          </w:p>
        </w:tc>
        <w:tc>
          <w:tcPr>
            <w:tcW w:w="7430" w:type="dxa"/>
            <w:vAlign w:val="center"/>
          </w:tcPr>
          <w:p w14:paraId="4A84D762">
            <w:pPr>
              <w:pStyle w:val="3"/>
              <w:keepNext w:val="0"/>
              <w:keepLines w:val="0"/>
              <w:pageBreakBefore w:val="0"/>
              <w:widowControl w:val="0"/>
              <w:kinsoku/>
              <w:wordWrap/>
              <w:overflowPunct/>
              <w:topLinePunct w:val="0"/>
              <w:autoSpaceDE/>
              <w:autoSpaceDN/>
              <w:bidi w:val="0"/>
              <w:adjustRightInd/>
              <w:snapToGrid/>
              <w:spacing w:line="420" w:lineRule="exact"/>
              <w:textAlignment w:val="auto"/>
              <w:rPr>
                <w:rFonts w:hAnsi="宋体"/>
                <w:sz w:val="24"/>
                <w:szCs w:val="24"/>
              </w:rPr>
            </w:pPr>
            <w:r>
              <w:rPr>
                <w:rFonts w:hint="eastAsia" w:hAnsi="宋体"/>
                <w:sz w:val="24"/>
                <w:szCs w:val="24"/>
              </w:rPr>
              <w:t>对比项目已有的履约能力，包括项目相关资质、资源和过往业绩情况的优势，以及</w:t>
            </w:r>
            <w:r>
              <w:rPr>
                <w:rFonts w:hint="eastAsia" w:hAnsi="宋体"/>
                <w:sz w:val="24"/>
                <w:szCs w:val="24"/>
                <w:lang w:eastAsia="zh-CN"/>
              </w:rPr>
              <w:t>新就业形态</w:t>
            </w:r>
            <w:r>
              <w:rPr>
                <w:rFonts w:hint="eastAsia" w:hAnsi="宋体"/>
                <w:sz w:val="24"/>
                <w:szCs w:val="24"/>
              </w:rPr>
              <w:t>服务相关经验情况，掌握本地区合作机构资源等情况。</w:t>
            </w:r>
          </w:p>
        </w:tc>
      </w:tr>
      <w:tr w14:paraId="517A6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6" w:hRule="atLeast"/>
          <w:jc w:val="center"/>
        </w:trPr>
        <w:tc>
          <w:tcPr>
            <w:tcW w:w="2269" w:type="dxa"/>
            <w:vAlign w:val="center"/>
          </w:tcPr>
          <w:p w14:paraId="53F4F164">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Ansi="宋体"/>
                <w:sz w:val="24"/>
                <w:szCs w:val="24"/>
              </w:rPr>
            </w:pPr>
            <w:r>
              <w:rPr>
                <w:rFonts w:hint="eastAsia" w:hAnsi="宋体"/>
                <w:sz w:val="24"/>
                <w:szCs w:val="24"/>
              </w:rPr>
              <w:t>规章管理制度</w:t>
            </w:r>
          </w:p>
          <w:p w14:paraId="62B6C0C7">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Ansi="宋体"/>
                <w:sz w:val="24"/>
                <w:szCs w:val="24"/>
              </w:rPr>
            </w:pPr>
            <w:r>
              <w:rPr>
                <w:rFonts w:hint="eastAsia" w:hAnsi="宋体"/>
                <w:sz w:val="24"/>
                <w:szCs w:val="24"/>
              </w:rPr>
              <w:t>（15分）</w:t>
            </w:r>
          </w:p>
        </w:tc>
        <w:tc>
          <w:tcPr>
            <w:tcW w:w="7430" w:type="dxa"/>
            <w:vAlign w:val="center"/>
          </w:tcPr>
          <w:p w14:paraId="53D15AF8">
            <w:pPr>
              <w:pStyle w:val="3"/>
              <w:keepNext w:val="0"/>
              <w:keepLines w:val="0"/>
              <w:pageBreakBefore w:val="0"/>
              <w:widowControl w:val="0"/>
              <w:kinsoku/>
              <w:wordWrap/>
              <w:overflowPunct/>
              <w:topLinePunct w:val="0"/>
              <w:autoSpaceDE/>
              <w:autoSpaceDN/>
              <w:bidi w:val="0"/>
              <w:adjustRightInd/>
              <w:snapToGrid/>
              <w:spacing w:line="420" w:lineRule="exact"/>
              <w:textAlignment w:val="auto"/>
              <w:rPr>
                <w:rFonts w:hAnsi="宋体"/>
                <w:sz w:val="24"/>
                <w:szCs w:val="24"/>
              </w:rPr>
            </w:pPr>
            <w:r>
              <w:rPr>
                <w:rFonts w:hint="eastAsia" w:hAnsi="宋体"/>
                <w:sz w:val="24"/>
                <w:szCs w:val="24"/>
              </w:rPr>
              <w:t>对比项目的管理运营新就业形态劳动者服务联盟拟制定的各项规章管理制度健全、完善程度（可提供制度清单或初步样板）。</w:t>
            </w:r>
          </w:p>
        </w:tc>
      </w:tr>
      <w:tr w14:paraId="4D515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0" w:hRule="atLeast"/>
          <w:jc w:val="center"/>
        </w:trPr>
        <w:tc>
          <w:tcPr>
            <w:tcW w:w="2269" w:type="dxa"/>
            <w:vAlign w:val="center"/>
          </w:tcPr>
          <w:p w14:paraId="005622BB">
            <w:pPr>
              <w:pStyle w:val="3"/>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Ansi="宋体"/>
                <w:sz w:val="24"/>
                <w:szCs w:val="24"/>
              </w:rPr>
            </w:pPr>
            <w:r>
              <w:rPr>
                <w:rFonts w:hint="eastAsia" w:hAnsi="宋体"/>
                <w:sz w:val="24"/>
                <w:szCs w:val="24"/>
              </w:rPr>
              <w:t>加分项</w:t>
            </w:r>
          </w:p>
        </w:tc>
        <w:tc>
          <w:tcPr>
            <w:tcW w:w="7430" w:type="dxa"/>
          </w:tcPr>
          <w:p w14:paraId="4D9B503A">
            <w:pPr>
              <w:pStyle w:val="3"/>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hAnsi="宋体"/>
                <w:sz w:val="24"/>
                <w:szCs w:val="24"/>
              </w:rPr>
            </w:pPr>
            <w:r>
              <w:rPr>
                <w:rFonts w:hint="eastAsia" w:hAnsi="宋体"/>
                <w:sz w:val="24"/>
                <w:szCs w:val="24"/>
              </w:rPr>
              <w:t>1.近两年（2023年1月起）获得政府部门或行业协会各类奖项的，每获得一项，国家级的加5分，获得省级的加3分，市级的加1分，区级的加0.5分，最高不超过10分。</w:t>
            </w:r>
          </w:p>
          <w:p w14:paraId="3C7458D5">
            <w:pPr>
              <w:pStyle w:val="3"/>
              <w:keepNext w:val="0"/>
              <w:keepLines w:val="0"/>
              <w:pageBreakBefore w:val="0"/>
              <w:widowControl w:val="0"/>
              <w:kinsoku/>
              <w:wordWrap/>
              <w:overflowPunct/>
              <w:topLinePunct w:val="0"/>
              <w:autoSpaceDE/>
              <w:autoSpaceDN/>
              <w:bidi w:val="0"/>
              <w:adjustRightInd/>
              <w:snapToGrid/>
              <w:spacing w:line="420" w:lineRule="exact"/>
              <w:textAlignment w:val="auto"/>
              <w:rPr>
                <w:rFonts w:hAnsi="宋体"/>
                <w:sz w:val="24"/>
                <w:szCs w:val="24"/>
              </w:rPr>
            </w:pPr>
            <w:r>
              <w:rPr>
                <w:rFonts w:hint="eastAsia" w:hAnsi="宋体"/>
                <w:sz w:val="24"/>
                <w:szCs w:val="24"/>
              </w:rPr>
              <w:t>2.承诺完成年度目标任务的基础，每多提供一项服务，加</w:t>
            </w:r>
            <w:r>
              <w:rPr>
                <w:rFonts w:hint="eastAsia" w:hAnsi="宋体"/>
                <w:sz w:val="24"/>
                <w:szCs w:val="24"/>
                <w:lang w:val="en-US" w:eastAsia="zh-CN"/>
              </w:rPr>
              <w:t>0.5</w:t>
            </w:r>
            <w:r>
              <w:rPr>
                <w:rFonts w:hint="eastAsia" w:hAnsi="宋体"/>
                <w:sz w:val="24"/>
                <w:szCs w:val="24"/>
              </w:rPr>
              <w:t>分，最高不超过</w:t>
            </w:r>
            <w:r>
              <w:rPr>
                <w:rFonts w:hint="eastAsia" w:hAnsi="宋体"/>
                <w:sz w:val="24"/>
                <w:szCs w:val="24"/>
                <w:lang w:val="en-US" w:eastAsia="zh-CN"/>
              </w:rPr>
              <w:t>5</w:t>
            </w:r>
            <w:r>
              <w:rPr>
                <w:rFonts w:hint="eastAsia" w:hAnsi="宋体"/>
                <w:sz w:val="24"/>
                <w:szCs w:val="24"/>
              </w:rPr>
              <w:t>分。</w:t>
            </w:r>
          </w:p>
        </w:tc>
      </w:tr>
    </w:tbl>
    <w:p w14:paraId="7658A9E6">
      <w:pPr>
        <w:rPr>
          <w:sz w:val="28"/>
          <w:szCs w:val="28"/>
        </w:rPr>
      </w:pPr>
      <w:r>
        <w:rPr>
          <w:rFonts w:hint="eastAsia"/>
          <w:sz w:val="28"/>
          <w:szCs w:val="28"/>
        </w:rPr>
        <w:t>说明：合作机构评分基础</w:t>
      </w:r>
      <w:r>
        <w:rPr>
          <w:sz w:val="28"/>
          <w:szCs w:val="28"/>
        </w:rPr>
        <w:t>分</w:t>
      </w:r>
      <w:r>
        <w:rPr>
          <w:rFonts w:hint="eastAsia"/>
          <w:sz w:val="28"/>
          <w:szCs w:val="28"/>
        </w:rPr>
        <w:t>满分为</w:t>
      </w:r>
      <w:r>
        <w:rPr>
          <w:sz w:val="28"/>
          <w:szCs w:val="28"/>
        </w:rPr>
        <w:t>100</w:t>
      </w:r>
      <w:r>
        <w:rPr>
          <w:rFonts w:hint="eastAsia"/>
          <w:sz w:val="28"/>
          <w:szCs w:val="28"/>
        </w:rPr>
        <w:t>分，加分项根据实际在基础评分的基础上直接加分。</w:t>
      </w:r>
      <w:bookmarkStart w:id="0" w:name="_GoBack"/>
      <w:bookmarkEnd w:id="0"/>
    </w:p>
    <w:sectPr>
      <w:pgSz w:w="11906" w:h="16838"/>
      <w:pgMar w:top="1134" w:right="1418" w:bottom="851"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364F"/>
    <w:rsid w:val="0004157D"/>
    <w:rsid w:val="00052D5E"/>
    <w:rsid w:val="000A118F"/>
    <w:rsid w:val="00116562"/>
    <w:rsid w:val="00214219"/>
    <w:rsid w:val="00241B3A"/>
    <w:rsid w:val="002F2F30"/>
    <w:rsid w:val="00334FF2"/>
    <w:rsid w:val="003367EA"/>
    <w:rsid w:val="00355C0C"/>
    <w:rsid w:val="00384D41"/>
    <w:rsid w:val="003C364F"/>
    <w:rsid w:val="00483E6F"/>
    <w:rsid w:val="004D1663"/>
    <w:rsid w:val="00541D00"/>
    <w:rsid w:val="00557179"/>
    <w:rsid w:val="00567276"/>
    <w:rsid w:val="005E52F0"/>
    <w:rsid w:val="00641BDE"/>
    <w:rsid w:val="006B38F5"/>
    <w:rsid w:val="00701D1B"/>
    <w:rsid w:val="00720355"/>
    <w:rsid w:val="00780C61"/>
    <w:rsid w:val="007A297E"/>
    <w:rsid w:val="00882407"/>
    <w:rsid w:val="008D3C2C"/>
    <w:rsid w:val="0090379D"/>
    <w:rsid w:val="00954CEB"/>
    <w:rsid w:val="009C56C1"/>
    <w:rsid w:val="009D704F"/>
    <w:rsid w:val="00A15E77"/>
    <w:rsid w:val="00A47E8E"/>
    <w:rsid w:val="00A60E3C"/>
    <w:rsid w:val="00A66BF5"/>
    <w:rsid w:val="00A87145"/>
    <w:rsid w:val="00AF7D82"/>
    <w:rsid w:val="00B53EC5"/>
    <w:rsid w:val="00C02C1E"/>
    <w:rsid w:val="00C975AB"/>
    <w:rsid w:val="00D8368B"/>
    <w:rsid w:val="00DF08D3"/>
    <w:rsid w:val="00E0768F"/>
    <w:rsid w:val="00E24AE2"/>
    <w:rsid w:val="00E836F1"/>
    <w:rsid w:val="00F22277"/>
    <w:rsid w:val="00F82970"/>
    <w:rsid w:val="00FA7941"/>
    <w:rsid w:val="02ED4B0E"/>
    <w:rsid w:val="160953D6"/>
    <w:rsid w:val="2E646B40"/>
    <w:rsid w:val="2E951461"/>
    <w:rsid w:val="3C717838"/>
    <w:rsid w:val="3F4027DC"/>
    <w:rsid w:val="403E1762"/>
    <w:rsid w:val="40704AAC"/>
    <w:rsid w:val="41FD400B"/>
    <w:rsid w:val="47B21E55"/>
    <w:rsid w:val="54ED715B"/>
    <w:rsid w:val="55544FFD"/>
    <w:rsid w:val="59BE4EBF"/>
    <w:rsid w:val="6431587C"/>
    <w:rsid w:val="650269A4"/>
    <w:rsid w:val="693A21D1"/>
    <w:rsid w:val="6C195A66"/>
    <w:rsid w:val="6C4A0386"/>
    <w:rsid w:val="745E7E27"/>
    <w:rsid w:val="75701E05"/>
    <w:rsid w:val="76E75D24"/>
    <w:rsid w:val="79095033"/>
    <w:rsid w:val="7E806FED"/>
    <w:rsid w:val="7F66440B"/>
    <w:rsid w:val="FDEF34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link w:val="13"/>
    <w:qFormat/>
    <w:uiPriority w:val="0"/>
    <w:pPr>
      <w:autoSpaceDE w:val="0"/>
      <w:autoSpaceDN w:val="0"/>
      <w:adjustRightInd w:val="0"/>
      <w:ind w:firstLine="420"/>
      <w:jc w:val="left"/>
      <w:textAlignment w:val="baseline"/>
    </w:pPr>
    <w:rPr>
      <w:rFonts w:ascii="宋体" w:hAnsiTheme="minorHAnsi" w:eastAsiaTheme="minorEastAsia" w:cstheme="minorBidi"/>
      <w:sz w:val="34"/>
    </w:rPr>
  </w:style>
  <w:style w:type="paragraph" w:styleId="3">
    <w:name w:val="Plain Text"/>
    <w:basedOn w:val="1"/>
    <w:link w:val="12"/>
    <w:qFormat/>
    <w:uiPriority w:val="0"/>
    <w:rPr>
      <w:rFonts w:ascii="宋体" w:hAnsi="Courier New"/>
      <w:szCs w:val="20"/>
    </w:rPr>
  </w:style>
  <w:style w:type="paragraph" w:styleId="4">
    <w:name w:val="Balloon Text"/>
    <w:basedOn w:val="1"/>
    <w:link w:val="14"/>
    <w:semiHidden/>
    <w:unhideWhenUsed/>
    <w:qFormat/>
    <w:uiPriority w:val="99"/>
    <w:rPr>
      <w:sz w:val="18"/>
      <w:szCs w:val="18"/>
    </w:rPr>
  </w:style>
  <w:style w:type="paragraph" w:styleId="5">
    <w:name w:val="footer"/>
    <w:basedOn w:val="1"/>
    <w:link w:val="10"/>
    <w:unhideWhenUsed/>
    <w:qFormat/>
    <w:uiPriority w:val="99"/>
    <w:pPr>
      <w:tabs>
        <w:tab w:val="center" w:pos="4153"/>
        <w:tab w:val="right" w:pos="8306"/>
      </w:tabs>
      <w:snapToGrid w:val="0"/>
      <w:jc w:val="left"/>
    </w:pPr>
    <w:rPr>
      <w:sz w:val="18"/>
      <w:szCs w:val="18"/>
    </w:rPr>
  </w:style>
  <w:style w:type="paragraph" w:styleId="6">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qFormat/>
    <w:uiPriority w:val="99"/>
    <w:rPr>
      <w:sz w:val="18"/>
      <w:szCs w:val="18"/>
    </w:rPr>
  </w:style>
  <w:style w:type="character" w:customStyle="1" w:styleId="10">
    <w:name w:val="页脚 Char"/>
    <w:basedOn w:val="8"/>
    <w:link w:val="5"/>
    <w:qFormat/>
    <w:uiPriority w:val="99"/>
    <w:rPr>
      <w:sz w:val="18"/>
      <w:szCs w:val="18"/>
    </w:rPr>
  </w:style>
  <w:style w:type="character" w:customStyle="1" w:styleId="11">
    <w:name w:val="纯文本 Char"/>
    <w:basedOn w:val="8"/>
    <w:semiHidden/>
    <w:qFormat/>
    <w:uiPriority w:val="99"/>
    <w:rPr>
      <w:rFonts w:ascii="宋体" w:hAnsi="Courier New" w:eastAsia="宋体" w:cs="Courier New"/>
      <w:szCs w:val="21"/>
    </w:rPr>
  </w:style>
  <w:style w:type="character" w:customStyle="1" w:styleId="12">
    <w:name w:val="纯文本 Char1"/>
    <w:link w:val="3"/>
    <w:qFormat/>
    <w:uiPriority w:val="0"/>
    <w:rPr>
      <w:rFonts w:ascii="宋体" w:hAnsi="Courier New" w:eastAsia="宋体" w:cs="Times New Roman"/>
      <w:szCs w:val="20"/>
    </w:rPr>
  </w:style>
  <w:style w:type="character" w:customStyle="1" w:styleId="13">
    <w:name w:val="正文缩进 Char"/>
    <w:link w:val="2"/>
    <w:qFormat/>
    <w:uiPriority w:val="0"/>
    <w:rPr>
      <w:rFonts w:ascii="宋体"/>
      <w:sz w:val="34"/>
    </w:rPr>
  </w:style>
  <w:style w:type="character" w:customStyle="1" w:styleId="14">
    <w:name w:val="批注框文本 Char"/>
    <w:basedOn w:val="8"/>
    <w:link w:val="4"/>
    <w:semiHidden/>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713</Words>
  <Characters>735</Characters>
  <Lines>5</Lines>
  <Paragraphs>1</Paragraphs>
  <TotalTime>1</TotalTime>
  <ScaleCrop>false</ScaleCrop>
  <LinksUpToDate>false</LinksUpToDate>
  <CharactersWithSpaces>736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2021-07-19T10:12:00Z</dcterms:created>
  <dc:creator>张云飞</dc:creator>
  <cp:lastModifiedBy>Administrator</cp:lastModifiedBy>
  <cp:lastPrinted>2023-09-04T02:53:00Z</cp:lastPrinted>
  <dcterms:modified xsi:type="dcterms:W3CDTF">2025-02-27T08:44:31Z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352E0089C5C44015BB12F1DC3A35CB54_13</vt:lpwstr>
  </property>
  <property fmtid="{D5CDD505-2E9C-101B-9397-08002B2CF9AE}" pid="4" name="KSOTemplateDocerSaveRecord">
    <vt:lpwstr>eyJoZGlkIjoiNjdhNzg2N2U4ZjgwMGQwNDJjOTIyOGVhYmQxYmMzYWMifQ==</vt:lpwstr>
  </property>
</Properties>
</file>