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r>
        <w:rPr>
          <w:rFonts w:ascii="仿宋_GB2312" w:eastAsia="仿宋_GB2312"/>
        </w:rPr>
        <mc:AlternateContent>
          <mc:Choice Requires="wpg">
            <w:drawing>
              <wp:anchor distT="0" distB="0" distL="114300" distR="114300" simplePos="0" relativeHeight="251658240" behindDoc="1" locked="1" layoutInCell="1" allowOverlap="1">
                <wp:simplePos x="0" y="0"/>
                <wp:positionH relativeFrom="column">
                  <wp:posOffset>-299720</wp:posOffset>
                </wp:positionH>
                <wp:positionV relativeFrom="paragraph">
                  <wp:posOffset>720090</wp:posOffset>
                </wp:positionV>
                <wp:extent cx="6130290" cy="8130540"/>
                <wp:effectExtent l="0" t="28575" r="3810" b="32385"/>
                <wp:wrapNone/>
                <wp:docPr id="3" name="组合 3"/>
                <wp:cNvGraphicFramePr/>
                <a:graphic xmlns:a="http://schemas.openxmlformats.org/drawingml/2006/main">
                  <a:graphicData uri="http://schemas.microsoft.com/office/word/2010/wordprocessingGroup">
                    <wpg:wgp>
                      <wpg:cNvGrpSpPr/>
                      <wpg:grpSpPr>
                        <a:xfrm>
                          <a:off x="841375" y="2308860"/>
                          <a:ext cx="6130290" cy="8130540"/>
                          <a:chOff x="0" y="0"/>
                          <a:chExt cx="9638" cy="12470"/>
                        </a:xfrm>
                        <a:effectLst/>
                      </wpg:grpSpPr>
                      <wps:wsp>
                        <wps:cNvPr id="1"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upright="1"/>
                      </wps:wsp>
                      <wps:wsp>
                        <wps:cNvPr id="2"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upright="1"/>
                      </wps:wsp>
                    </wpg:wgp>
                  </a:graphicData>
                </a:graphic>
              </wp:anchor>
            </w:drawing>
          </mc:Choice>
          <mc:Fallback>
            <w:pict>
              <v:group id="_x0000_s1026" o:spid="_x0000_s1026" o:spt="203" style="position:absolute;left:0pt;margin-left:-23.6pt;margin-top:56.7pt;height:640.2pt;width:482.7pt;z-index:-251658240;mso-width-relative:page;mso-height-relative:page;" coordsize="9638,12470" o:gfxdata="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hJrAuNsAAAAMAQAADwAAAAAAAAABACAAAAAiAAAAZHJz&#10;L2Rvd25yZXYueG1sUEsBAhQAFAAAAAgAh07iQDjSUc+sAgAAawcAAA4AAAAAAAAAAQAgAAAAKgEA&#10;AGRycy9lMm9Eb2MueG1sUEsFBgAAAAAGAAYAWQEAAEgGAAAAAA==&#10;">
                <o:lock v:ext="edit" aspectratio="f"/>
                <v:line id="_x0000_s1026" o:spid="_x0000_s1026" o:spt="20" style="position:absolute;left:0;top:0;height:0;width:9638;" filled="f" stroked="t" coordsize="21600,21600" o:gfxdata="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T56zq5AAAA2gAA&#10;AA8AAAAAAAAAAQAgAAAAIgAAAGRycy9kb3ducmV2LnhtbFBLAQIUABQAAAAIAIdO4kAzLwWeOwAA&#10;ADkAAAAQAAAAAAAAAAEAIAAAAAgBAABkcnMvc2hhcGV4bWwueG1sUEsFBgAAAAAGAAYAWwEAALID&#10;AAAAAA==&#10;">
                  <v:fill on="f" focussize="0,0"/>
                  <v:stroke weight="4.5pt" color="#FF0000" linestyle="thickThin" joinstyle="bevel"/>
                  <v:imagedata o:title=""/>
                  <o:lock v:ext="edit" aspectratio="f"/>
                </v:line>
                <v:line id="_x0000_s1026" o:spid="_x0000_s1026" o:spt="20" style="position:absolute;left:0;top:12470;height:0;width:9638;" filled="f" stroked="t" coordsize="21600,21600" o:gfxdata="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5FrVvQAA&#10;ANoAAAAPAAAAAAAAAAEAIAAAACIAAABkcnMvZG93bnJldi54bWxQSwECFAAUAAAACACHTuJAMy8F&#10;njsAAAA5AAAAEAAAAAAAAAABACAAAAAMAQAAZHJzL3NoYXBleG1sLnhtbFBLBQYAAAAABgAGAFsB&#10;AAC2AwAAAAA=&#10;">
                  <v:fill on="f" focussize="0,0"/>
                  <v:stroke weight="4.5pt" color="#FF0000" linestyle="thinThick" joinstyle="bevel"/>
                  <v:imagedata o:title=""/>
                  <o:lock v:ext="edit" aspectratio="f"/>
                </v:line>
                <w10:anchorlock/>
              </v:group>
            </w:pict>
          </mc:Fallback>
        </mc:AlternateContent>
      </w:r>
    </w:p>
    <w:p>
      <w:pPr>
        <w:spacing w:line="560" w:lineRule="exact"/>
        <w:rPr>
          <w:rFonts w:hint="eastAsia" w:ascii="仿宋_GB2312" w:hAnsi="华文中宋" w:eastAsia="仿宋_GB2312"/>
        </w:rPr>
      </w:pPr>
    </w:p>
    <w:p>
      <w:pPr>
        <w:spacing w:line="560" w:lineRule="exact"/>
        <w:rPr>
          <w:rFonts w:hint="eastAsia" w:ascii="仿宋_GB2312" w:hAnsi="华文中宋" w:eastAsia="仿宋_GB2312"/>
        </w:rPr>
      </w:pPr>
    </w:p>
    <w:p>
      <w:pPr>
        <w:spacing w:line="560" w:lineRule="exact"/>
        <w:jc w:val="center"/>
        <w:rPr>
          <w:rFonts w:hint="eastAsia" w:ascii="方正小标宋简体" w:hAnsi="宋体" w:eastAsia="方正小标宋简体"/>
          <w:bCs/>
          <w:sz w:val="44"/>
          <w:szCs w:val="44"/>
        </w:rPr>
      </w:pPr>
      <w:r>
        <w:rPr>
          <w:rFonts w:hint="eastAsia" w:ascii="方正小标宋_GBK" w:hAnsi="宋体" w:eastAsia="方正小标宋_GBK"/>
          <w:sz w:val="44"/>
          <w:szCs w:val="44"/>
        </w:rPr>
        <w:t xml:space="preserve">  </w:t>
      </w:r>
      <w:r>
        <w:rPr>
          <w:rFonts w:hint="eastAsia" w:ascii="方正小标宋简体" w:hAnsi="宋体" w:eastAsia="方正小标宋简体"/>
          <w:bCs/>
          <w:sz w:val="44"/>
          <w:szCs w:val="44"/>
        </w:rPr>
        <w:t>江门市生态环境局</w:t>
      </w:r>
    </w:p>
    <w:p>
      <w:pPr>
        <w:spacing w:line="560" w:lineRule="exact"/>
        <w:jc w:val="center"/>
        <w:rPr>
          <w:rFonts w:hint="eastAsia" w:ascii="方正小标宋简体" w:hAnsi="宋体" w:eastAsia="方正小标宋简体"/>
          <w:bCs/>
          <w:sz w:val="44"/>
          <w:szCs w:val="44"/>
        </w:rPr>
      </w:pPr>
      <w:r>
        <w:rPr>
          <w:rFonts w:hint="eastAsia" w:ascii="方正小标宋简体" w:hAnsi="宋体" w:eastAsia="方正小标宋简体"/>
          <w:bCs/>
          <w:sz w:val="44"/>
          <w:szCs w:val="44"/>
        </w:rPr>
        <w:t xml:space="preserve">  行政处罚决定书</w:t>
      </w:r>
    </w:p>
    <w:p>
      <w:pPr>
        <w:spacing w:line="400" w:lineRule="exact"/>
        <w:ind w:firstLine="316" w:firstLineChars="100"/>
        <w:jc w:val="center"/>
        <w:rPr>
          <w:rFonts w:hint="eastAsia" w:ascii="仿宋_GB2312" w:hAnsi="华文仿宋" w:eastAsia="仿宋_GB2312"/>
        </w:rPr>
      </w:pPr>
    </w:p>
    <w:p>
      <w:pPr>
        <w:spacing w:line="400" w:lineRule="exact"/>
        <w:ind w:firstLine="316" w:firstLineChars="100"/>
        <w:jc w:val="right"/>
        <w:rPr>
          <w:rFonts w:hint="eastAsia" w:ascii="楷体_GB2312" w:hAnsi="华文仿宋" w:eastAsia="楷体_GB2312"/>
        </w:rPr>
      </w:pPr>
      <w:r>
        <w:rPr>
          <w:rFonts w:hint="eastAsia" w:ascii="仿宋_GB2312" w:hAnsi="华文仿宋" w:eastAsia="仿宋_GB2312"/>
        </w:rPr>
        <w:t>江蓬环罚〔202</w:t>
      </w:r>
      <w:r>
        <w:rPr>
          <w:rFonts w:hint="eastAsia" w:ascii="仿宋_GB2312" w:hAnsi="华文仿宋" w:eastAsia="仿宋_GB2312"/>
          <w:lang w:val="en-US" w:eastAsia="zh-CN"/>
        </w:rPr>
        <w:t>1</w:t>
      </w:r>
      <w:r>
        <w:rPr>
          <w:rFonts w:hint="eastAsia" w:ascii="仿宋_GB2312" w:hAnsi="华文仿宋" w:eastAsia="仿宋_GB2312"/>
        </w:rPr>
        <w:t>〕</w:t>
      </w:r>
      <w:r>
        <w:rPr>
          <w:rFonts w:hint="eastAsia" w:ascii="仿宋_GB2312" w:hAnsi="华文仿宋" w:eastAsia="仿宋_GB2312"/>
          <w:lang w:val="en-US" w:eastAsia="zh-CN"/>
        </w:rPr>
        <w:t>16</w:t>
      </w:r>
      <w:bookmarkStart w:id="0" w:name="_GoBack"/>
      <w:bookmarkEnd w:id="0"/>
      <w:r>
        <w:rPr>
          <w:rFonts w:hint="eastAsia" w:ascii="仿宋_GB2312" w:hAnsi="华文仿宋" w:eastAsia="仿宋_GB2312"/>
        </w:rPr>
        <w:t>号</w:t>
      </w:r>
    </w:p>
    <w:p>
      <w:pPr>
        <w:spacing w:line="560" w:lineRule="exact"/>
        <w:ind w:firstLine="632" w:firstLineChars="200"/>
        <w:jc w:val="right"/>
        <w:rPr>
          <w:rFonts w:hint="eastAsia" w:ascii="仿宋_GB2312" w:hAnsi="仿宋" w:eastAsia="仿宋_GB2312"/>
        </w:rPr>
      </w:pPr>
    </w:p>
    <w:p>
      <w:pPr>
        <w:spacing w:line="560" w:lineRule="exact"/>
        <w:rPr>
          <w:rFonts w:hint="eastAsia" w:ascii="仿宋_GB2312" w:hAnsi="仿宋" w:eastAsia="仿宋_GB2312"/>
        </w:rPr>
      </w:pPr>
      <w:r>
        <w:rPr>
          <w:rFonts w:hint="eastAsia" w:ascii="仿宋_GB2312" w:hAnsi="仿宋" w:eastAsia="仿宋_GB2312"/>
        </w:rPr>
        <w:t>当事人：广东筑壕工程技术有限公司</w:t>
      </w:r>
    </w:p>
    <w:p>
      <w:pPr>
        <w:adjustRightInd w:val="0"/>
        <w:spacing w:line="560" w:lineRule="exact"/>
        <w:rPr>
          <w:rFonts w:hint="default" w:ascii="仿宋_GB2312" w:hAnsi="仿宋" w:eastAsia="仿宋_GB2312"/>
          <w:lang w:val="en-US" w:eastAsia="zh-CN"/>
        </w:rPr>
      </w:pPr>
      <w:r>
        <w:rPr>
          <w:rFonts w:hint="eastAsia" w:ascii="仿宋_GB2312" w:hAnsi="仿宋" w:eastAsia="仿宋_GB2312"/>
          <w:lang w:eastAsia="zh-CN"/>
        </w:rPr>
        <w:t>统一社会信用代码：91440606MA4X8DLC5L</w:t>
      </w:r>
    </w:p>
    <w:p>
      <w:pPr>
        <w:adjustRightInd w:val="0"/>
        <w:spacing w:line="560" w:lineRule="exact"/>
        <w:rPr>
          <w:rFonts w:hint="eastAsia" w:ascii="仿宋_GB2312" w:hAnsi="仿宋" w:eastAsia="仿宋_GB2312"/>
          <w:lang w:eastAsia="zh-CN"/>
        </w:rPr>
      </w:pPr>
      <w:r>
        <w:rPr>
          <w:rFonts w:hint="eastAsia" w:ascii="仿宋_GB2312" w:hAnsi="仿宋" w:eastAsia="仿宋_GB2312"/>
          <w:lang w:eastAsia="zh-CN"/>
        </w:rPr>
        <w:t>法定代表人：苏伟国</w:t>
      </w:r>
    </w:p>
    <w:p>
      <w:pPr>
        <w:adjustRightInd w:val="0"/>
        <w:spacing w:line="560" w:lineRule="exact"/>
        <w:rPr>
          <w:rFonts w:hint="eastAsia" w:ascii="仿宋_GB2312" w:hAnsi="仿宋" w:eastAsia="仿宋_GB2312"/>
        </w:rPr>
      </w:pPr>
      <w:r>
        <w:rPr>
          <w:rFonts w:hint="eastAsia" w:ascii="仿宋_GB2312" w:hAnsi="仿宋" w:eastAsia="仿宋_GB2312"/>
          <w:lang w:eastAsia="zh-CN"/>
        </w:rPr>
        <w:t>登记</w:t>
      </w:r>
      <w:r>
        <w:rPr>
          <w:rFonts w:hint="eastAsia" w:ascii="仿宋_GB2312" w:hAnsi="仿宋" w:eastAsia="仿宋_GB2312"/>
        </w:rPr>
        <w:t>地址：佛山市顺德区勒流街道裕源村清源工业区工业大道1号三层</w:t>
      </w:r>
    </w:p>
    <w:p>
      <w:pPr>
        <w:adjustRightInd w:val="0"/>
        <w:spacing w:line="560" w:lineRule="exact"/>
        <w:rPr>
          <w:rFonts w:hint="eastAsia" w:ascii="仿宋_GB2312" w:hAnsi="仿宋" w:eastAsia="仿宋_GB2312"/>
          <w:lang w:val="en-US" w:eastAsia="zh-CN"/>
        </w:rPr>
      </w:pPr>
    </w:p>
    <w:p>
      <w:pPr>
        <w:spacing w:line="520" w:lineRule="exact"/>
        <w:ind w:firstLine="632" w:firstLineChars="200"/>
        <w:rPr>
          <w:rFonts w:hint="eastAsia" w:ascii="黑体" w:hAnsi="黑体" w:eastAsia="黑体"/>
        </w:rPr>
      </w:pPr>
      <w:r>
        <w:rPr>
          <w:rFonts w:hint="eastAsia" w:ascii="黑体" w:hAnsi="黑体" w:eastAsia="黑体"/>
        </w:rPr>
        <w:t>一、环境违法事实和证据</w:t>
      </w:r>
    </w:p>
    <w:p>
      <w:pPr>
        <w:keepNext w:val="0"/>
        <w:keepLines w:val="0"/>
        <w:pageBreakBefore w:val="0"/>
        <w:widowControl w:val="0"/>
        <w:kinsoku/>
        <w:wordWrap/>
        <w:overflowPunct/>
        <w:topLinePunct w:val="0"/>
        <w:autoSpaceDE/>
        <w:autoSpaceDN/>
        <w:bidi w:val="0"/>
        <w:adjustRightInd w:val="0"/>
        <w:snapToGrid/>
        <w:spacing w:line="560" w:lineRule="exact"/>
        <w:ind w:firstLine="632" w:firstLineChars="200"/>
        <w:textAlignment w:val="auto"/>
        <w:rPr>
          <w:rFonts w:hint="eastAsia" w:ascii="仿宋_GB2312" w:hAnsi="仿宋" w:eastAsia="仿宋_GB2312"/>
          <w:lang w:eastAsia="zh-CN"/>
        </w:rPr>
      </w:pPr>
      <w:r>
        <w:rPr>
          <w:rFonts w:hint="eastAsia" w:ascii="仿宋_GB2312" w:hAnsi="仿宋" w:eastAsia="仿宋_GB2312"/>
          <w:lang w:eastAsia="zh-CN"/>
        </w:rPr>
        <w:t>2020年</w:t>
      </w:r>
      <w:r>
        <w:rPr>
          <w:rFonts w:hint="eastAsia" w:ascii="仿宋_GB2312" w:hAnsi="仿宋" w:eastAsia="仿宋_GB2312"/>
          <w:lang w:val="en-US" w:eastAsia="zh-CN"/>
        </w:rPr>
        <w:t>9</w:t>
      </w:r>
      <w:r>
        <w:rPr>
          <w:rFonts w:hint="eastAsia" w:ascii="仿宋_GB2312" w:hAnsi="仿宋" w:eastAsia="仿宋_GB2312"/>
          <w:lang w:eastAsia="zh-CN"/>
        </w:rPr>
        <w:t>月</w:t>
      </w:r>
      <w:r>
        <w:rPr>
          <w:rFonts w:hint="eastAsia" w:ascii="仿宋_GB2312" w:hAnsi="仿宋" w:eastAsia="仿宋_GB2312"/>
          <w:lang w:val="en-US" w:eastAsia="zh-CN"/>
        </w:rPr>
        <w:t>4</w:t>
      </w:r>
      <w:r>
        <w:rPr>
          <w:rFonts w:hint="eastAsia" w:ascii="仿宋_GB2312" w:hAnsi="仿宋" w:eastAsia="仿宋_GB2312"/>
          <w:lang w:eastAsia="zh-CN"/>
        </w:rPr>
        <w:t>日、</w:t>
      </w:r>
      <w:r>
        <w:rPr>
          <w:rFonts w:hint="eastAsia" w:ascii="仿宋_GB2312" w:hAnsi="仿宋" w:eastAsia="仿宋_GB2312"/>
          <w:lang w:val="en-US" w:eastAsia="zh-CN"/>
        </w:rPr>
        <w:t>9月24日</w:t>
      </w:r>
      <w:r>
        <w:rPr>
          <w:rFonts w:hint="eastAsia" w:ascii="仿宋_GB2312" w:hAnsi="仿宋" w:eastAsia="仿宋_GB2312"/>
          <w:lang w:eastAsia="zh-CN"/>
        </w:rPr>
        <w:t>，我局执法人员对你单位负责施工的棠下碧桂园二期工地进行现场检查，发现你单位存在以下环境违法行为：</w:t>
      </w:r>
    </w:p>
    <w:p>
      <w:pPr>
        <w:spacing w:line="560" w:lineRule="exact"/>
        <w:ind w:firstLine="632" w:firstLineChars="200"/>
        <w:rPr>
          <w:rFonts w:hint="eastAsia" w:ascii="仿宋_GB2312" w:hAnsi="仿宋" w:eastAsia="仿宋_GB2312"/>
          <w:lang w:eastAsia="zh-CN"/>
        </w:rPr>
      </w:pPr>
      <w:r>
        <w:rPr>
          <w:rFonts w:hint="eastAsia" w:ascii="仿宋_GB2312" w:hAnsi="仿宋" w:eastAsia="仿宋_GB2312"/>
          <w:lang w:eastAsia="zh-CN"/>
        </w:rPr>
        <w:t>你单位负责建设的蓬江区棠下碧桂园二期项目正在施工，该工地所在地段属于《江门市人民政府关于划定第一阶段禁止使用高排放非道路移动机械区域的通告》（江府告〔20</w:t>
      </w:r>
      <w:r>
        <w:rPr>
          <w:rFonts w:hint="eastAsia" w:ascii="仿宋_GB2312" w:hAnsi="仿宋" w:eastAsia="仿宋_GB2312"/>
          <w:lang w:val="en-US" w:eastAsia="zh-CN"/>
        </w:rPr>
        <w:t>18</w:t>
      </w:r>
      <w:r>
        <w:rPr>
          <w:rFonts w:hint="eastAsia" w:ascii="仿宋_GB2312" w:hAnsi="仿宋" w:eastAsia="仿宋_GB2312"/>
          <w:lang w:eastAsia="zh-CN"/>
        </w:rPr>
        <w:t>〕</w:t>
      </w:r>
      <w:r>
        <w:rPr>
          <w:rFonts w:hint="eastAsia" w:ascii="仿宋_GB2312" w:hAnsi="仿宋" w:eastAsia="仿宋_GB2312"/>
          <w:lang w:val="en-US" w:eastAsia="zh-CN"/>
        </w:rPr>
        <w:t>7号</w:t>
      </w:r>
      <w:r>
        <w:rPr>
          <w:rFonts w:hint="eastAsia" w:ascii="仿宋_GB2312" w:hAnsi="仿宋" w:eastAsia="仿宋_GB2312"/>
          <w:lang w:eastAsia="zh-CN"/>
        </w:rPr>
        <w:t>）划定的禁止使用高排放非道路移动机械区域。你单位在该区域施工时使用打桩机、挖掘机等非道路移动机械，经广东利诚检测技术有限公司对上述非道路移动机械检测，根据《检测报告》（编号：</w:t>
      </w:r>
      <w:r>
        <w:rPr>
          <w:rFonts w:hint="eastAsia" w:ascii="仿宋_GB2312" w:hAnsi="仿宋" w:eastAsia="仿宋_GB2312"/>
          <w:lang w:val="en-US" w:eastAsia="zh-CN"/>
        </w:rPr>
        <w:t>JMCQ20090402[A]</w:t>
      </w:r>
      <w:r>
        <w:rPr>
          <w:rFonts w:hint="eastAsia" w:ascii="仿宋_GB2312" w:hAnsi="仿宋" w:eastAsia="仿宋_GB2312"/>
          <w:lang w:eastAsia="zh-CN"/>
        </w:rPr>
        <w:t>）显示，</w:t>
      </w:r>
      <w:r>
        <w:rPr>
          <w:rFonts w:hint="eastAsia" w:ascii="仿宋_GB2312" w:hAnsi="仿宋" w:eastAsia="仿宋_GB2312"/>
          <w:lang w:val="en-US" w:eastAsia="zh-CN"/>
        </w:rPr>
        <w:t>1台打桩机和3台挖掘机的光吸收系数分别为1.84m</w:t>
      </w:r>
      <w:r>
        <w:rPr>
          <w:rFonts w:hint="eastAsia" w:ascii="仿宋_GB2312" w:hAnsi="仿宋" w:eastAsia="仿宋_GB2312"/>
          <w:vertAlign w:val="superscript"/>
          <w:lang w:val="en-US" w:eastAsia="zh-CN"/>
        </w:rPr>
        <w:t>-1</w:t>
      </w:r>
      <w:r>
        <w:rPr>
          <w:rFonts w:hint="eastAsia" w:ascii="仿宋_GB2312" w:hAnsi="仿宋" w:eastAsia="仿宋_GB2312"/>
          <w:lang w:val="en-US" w:eastAsia="zh-CN"/>
        </w:rPr>
        <w:t>、16.1m</w:t>
      </w:r>
      <w:r>
        <w:rPr>
          <w:rFonts w:hint="eastAsia" w:ascii="仿宋_GB2312" w:hAnsi="仿宋" w:eastAsia="仿宋_GB2312"/>
          <w:vertAlign w:val="superscript"/>
          <w:lang w:val="en-US" w:eastAsia="zh-CN"/>
        </w:rPr>
        <w:t>-1</w:t>
      </w:r>
      <w:r>
        <w:rPr>
          <w:rFonts w:hint="eastAsia" w:ascii="仿宋_GB2312" w:hAnsi="仿宋" w:eastAsia="仿宋_GB2312"/>
          <w:lang w:val="en-US" w:eastAsia="zh-CN"/>
        </w:rPr>
        <w:t>、4.19m</w:t>
      </w:r>
      <w:r>
        <w:rPr>
          <w:rFonts w:hint="eastAsia" w:ascii="仿宋_GB2312" w:hAnsi="仿宋" w:eastAsia="仿宋_GB2312"/>
          <w:vertAlign w:val="superscript"/>
          <w:lang w:val="en-US" w:eastAsia="zh-CN"/>
        </w:rPr>
        <w:t>-1</w:t>
      </w:r>
      <w:r>
        <w:rPr>
          <w:rFonts w:hint="eastAsia" w:ascii="仿宋_GB2312" w:hAnsi="仿宋" w:eastAsia="仿宋_GB2312"/>
          <w:lang w:val="en-US" w:eastAsia="zh-CN"/>
        </w:rPr>
        <w:t>、4.57m</w:t>
      </w:r>
      <w:r>
        <w:rPr>
          <w:rFonts w:hint="eastAsia" w:ascii="仿宋_GB2312" w:hAnsi="仿宋" w:eastAsia="仿宋_GB2312"/>
          <w:vertAlign w:val="superscript"/>
          <w:lang w:val="en-US" w:eastAsia="zh-CN"/>
        </w:rPr>
        <w:t>-1</w:t>
      </w:r>
      <w:r>
        <w:rPr>
          <w:rFonts w:hint="eastAsia" w:ascii="仿宋_GB2312" w:hAnsi="仿宋" w:eastAsia="仿宋_GB2312"/>
          <w:lang w:val="en-US" w:eastAsia="zh-CN"/>
        </w:rPr>
        <w:t>，均超过《非道路柴油移动机械排气烟度限值及测量方法》（GB36886-2018）中Ⅱ类限值0.8m</w:t>
      </w:r>
      <w:r>
        <w:rPr>
          <w:rFonts w:hint="eastAsia" w:ascii="仿宋_GB2312" w:hAnsi="仿宋" w:eastAsia="仿宋_GB2312"/>
          <w:vertAlign w:val="superscript"/>
          <w:lang w:val="en-US" w:eastAsia="zh-CN"/>
        </w:rPr>
        <w:t>-1</w:t>
      </w:r>
      <w:r>
        <w:rPr>
          <w:rFonts w:hint="eastAsia" w:ascii="仿宋_GB2312" w:hAnsi="仿宋" w:eastAsia="仿宋_GB2312"/>
          <w:lang w:val="en-US" w:eastAsia="zh-CN"/>
        </w:rPr>
        <w:t>，即你单位存在在</w:t>
      </w:r>
      <w:r>
        <w:rPr>
          <w:rFonts w:hint="eastAsia" w:ascii="仿宋_GB2312" w:hAnsi="仿宋" w:eastAsia="仿宋_GB2312"/>
          <w:lang w:eastAsia="zh-CN"/>
        </w:rPr>
        <w:t>禁止使用高排放非道路移动机械区域使用高排放非道路移动机械的违法行为。</w:t>
      </w:r>
    </w:p>
    <w:p>
      <w:pPr>
        <w:spacing w:line="560" w:lineRule="exact"/>
        <w:ind w:firstLine="632" w:firstLineChars="200"/>
        <w:rPr>
          <w:rFonts w:hint="eastAsia" w:ascii="仿宋_GB2312" w:hAnsi="仿宋" w:eastAsia="仿宋_GB2312"/>
        </w:rPr>
      </w:pPr>
      <w:r>
        <w:rPr>
          <w:rFonts w:hint="eastAsia" w:ascii="仿宋_GB2312" w:hAnsi="仿宋" w:eastAsia="仿宋_GB2312"/>
        </w:rPr>
        <w:t>上述事实有我局</w:t>
      </w:r>
      <w:r>
        <w:rPr>
          <w:rFonts w:hint="eastAsia" w:ascii="仿宋_GB2312" w:hAnsi="仿宋" w:eastAsia="仿宋_GB2312"/>
          <w:lang w:val="en-US" w:eastAsia="zh-CN"/>
        </w:rPr>
        <w:t>2020年9月4日现场检查照片与视频</w:t>
      </w:r>
      <w:r>
        <w:rPr>
          <w:rFonts w:hint="eastAsia" w:ascii="仿宋_GB2312" w:hAnsi="仿宋" w:eastAsia="仿宋_GB2312"/>
          <w:lang w:eastAsia="zh-CN"/>
        </w:rPr>
        <w:t>、</w:t>
      </w:r>
      <w:r>
        <w:rPr>
          <w:rFonts w:hint="eastAsia" w:ascii="仿宋_GB2312" w:hAnsi="仿宋" w:eastAsia="仿宋_GB2312"/>
        </w:rPr>
        <w:t>现场检查（勘察）记录、调查询问笔录</w:t>
      </w:r>
      <w:r>
        <w:rPr>
          <w:rFonts w:hint="eastAsia" w:ascii="仿宋_GB2312" w:hAnsi="仿宋" w:eastAsia="仿宋_GB2312"/>
          <w:lang w:eastAsia="zh-CN"/>
        </w:rPr>
        <w:t>、</w:t>
      </w:r>
      <w:r>
        <w:rPr>
          <w:rFonts w:hint="eastAsia" w:ascii="仿宋_GB2312" w:hAnsi="仿宋" w:eastAsia="仿宋_GB2312"/>
          <w:lang w:val="en-US" w:eastAsia="zh-CN"/>
        </w:rPr>
        <w:t>9月24日调查询问笔录、禁止使用高排放非道路移动机械区域图、《检测报告》（报告号：JMCQ20090402[A]）</w:t>
      </w:r>
      <w:r>
        <w:rPr>
          <w:rFonts w:hint="eastAsia" w:ascii="仿宋_GB2312" w:hAnsi="仿宋" w:eastAsia="仿宋_GB2312"/>
        </w:rPr>
        <w:t>等为证。</w:t>
      </w:r>
    </w:p>
    <w:p>
      <w:pPr>
        <w:spacing w:line="520" w:lineRule="exact"/>
        <w:ind w:firstLine="632" w:firstLineChars="200"/>
        <w:rPr>
          <w:rFonts w:hint="eastAsia" w:ascii="仿宋_GB2312" w:hAnsi="仿宋" w:eastAsia="仿宋_GB2312"/>
          <w:lang w:eastAsia="zh-CN"/>
        </w:rPr>
      </w:pPr>
      <w:r>
        <w:rPr>
          <w:rFonts w:hint="eastAsia" w:ascii="仿宋_GB2312" w:hAnsi="仿宋" w:eastAsia="仿宋_GB2312"/>
        </w:rPr>
        <w:t>你</w:t>
      </w:r>
      <w:r>
        <w:rPr>
          <w:rFonts w:hint="eastAsia" w:ascii="仿宋_GB2312" w:hAnsi="仿宋" w:eastAsia="仿宋_GB2312"/>
          <w:lang w:eastAsia="zh-CN"/>
        </w:rPr>
        <w:t>单位</w:t>
      </w:r>
      <w:r>
        <w:rPr>
          <w:rFonts w:hint="eastAsia" w:ascii="仿宋_GB2312" w:hAnsi="仿宋" w:eastAsia="仿宋_GB2312"/>
        </w:rPr>
        <w:t>的上述行为，违反了</w:t>
      </w:r>
      <w:r>
        <w:rPr>
          <w:rFonts w:hint="eastAsia" w:ascii="仿宋_GB2312" w:hAnsi="仿宋" w:eastAsia="仿宋_GB2312"/>
          <w:lang w:eastAsia="zh-CN"/>
        </w:rPr>
        <w:t>《广东省大气污染防治条例》第四十五条第三款</w:t>
      </w:r>
      <w:r>
        <w:rPr>
          <w:rFonts w:hint="eastAsia" w:ascii="仿宋_GB2312" w:hAnsi="仿宋" w:eastAsia="仿宋_GB2312"/>
        </w:rPr>
        <w:t>的规定</w:t>
      </w:r>
      <w:r>
        <w:rPr>
          <w:rFonts w:hint="eastAsia" w:ascii="宋体" w:hAnsi="宋体"/>
        </w:rPr>
        <w:t>。</w:t>
      </w:r>
      <w:r>
        <w:rPr>
          <w:rFonts w:hint="eastAsia" w:ascii="仿宋_GB2312" w:hAnsi="仿宋" w:eastAsia="仿宋_GB2312"/>
        </w:rPr>
        <w:t>我局于</w:t>
      </w:r>
      <w:r>
        <w:rPr>
          <w:rFonts w:hint="eastAsia" w:ascii="仿宋_GB2312" w:hAnsi="仿宋" w:eastAsia="仿宋_GB2312"/>
          <w:highlight w:val="none"/>
        </w:rPr>
        <w:t>2020年</w:t>
      </w:r>
      <w:r>
        <w:rPr>
          <w:rFonts w:hint="eastAsia" w:ascii="仿宋_GB2312" w:hAnsi="仿宋" w:eastAsia="仿宋_GB2312"/>
          <w:highlight w:val="none"/>
          <w:lang w:val="en-US" w:eastAsia="zh-CN"/>
        </w:rPr>
        <w:t>12</w:t>
      </w:r>
      <w:r>
        <w:rPr>
          <w:rFonts w:hint="eastAsia" w:ascii="仿宋_GB2312" w:hAnsi="仿宋" w:eastAsia="仿宋_GB2312"/>
          <w:highlight w:val="none"/>
        </w:rPr>
        <w:t>月</w:t>
      </w:r>
      <w:r>
        <w:rPr>
          <w:rFonts w:hint="eastAsia" w:ascii="仿宋_GB2312" w:hAnsi="仿宋" w:eastAsia="仿宋_GB2312"/>
          <w:highlight w:val="none"/>
          <w:lang w:val="en-US" w:eastAsia="zh-CN"/>
        </w:rPr>
        <w:t>31</w:t>
      </w:r>
      <w:r>
        <w:rPr>
          <w:rFonts w:hint="eastAsia" w:ascii="仿宋_GB2312" w:hAnsi="仿宋" w:eastAsia="仿宋_GB2312"/>
          <w:highlight w:val="none"/>
        </w:rPr>
        <w:t>日告知你</w:t>
      </w:r>
      <w:r>
        <w:rPr>
          <w:rFonts w:hint="eastAsia" w:ascii="仿宋_GB2312" w:hAnsi="仿宋" w:eastAsia="仿宋_GB2312"/>
          <w:highlight w:val="none"/>
          <w:lang w:eastAsia="zh-CN"/>
        </w:rPr>
        <w:t>单位</w:t>
      </w:r>
      <w:r>
        <w:rPr>
          <w:rFonts w:hint="eastAsia" w:ascii="仿宋_GB2312" w:hAnsi="仿宋" w:eastAsia="仿宋_GB2312"/>
          <w:highlight w:val="none"/>
        </w:rPr>
        <w:t>违法事实、处罚依据和拟作出的处罚决定，并告知你</w:t>
      </w:r>
      <w:r>
        <w:rPr>
          <w:rFonts w:hint="eastAsia" w:ascii="仿宋_GB2312" w:hAnsi="仿宋" w:eastAsia="仿宋_GB2312"/>
          <w:highlight w:val="none"/>
          <w:lang w:eastAsia="zh-CN"/>
        </w:rPr>
        <w:t>单</w:t>
      </w:r>
      <w:r>
        <w:rPr>
          <w:rFonts w:hint="eastAsia" w:ascii="仿宋_GB2312" w:hAnsi="仿宋" w:eastAsia="仿宋_GB2312"/>
          <w:lang w:eastAsia="zh-CN"/>
        </w:rPr>
        <w:t>位</w:t>
      </w:r>
      <w:r>
        <w:rPr>
          <w:rFonts w:hint="eastAsia" w:ascii="仿宋_GB2312" w:hAnsi="仿宋" w:eastAsia="仿宋_GB2312"/>
        </w:rPr>
        <w:t>有权</w:t>
      </w:r>
      <w:r>
        <w:rPr>
          <w:rFonts w:hint="eastAsia" w:ascii="仿宋_GB2312" w:hAnsi="仿宋" w:eastAsia="仿宋_GB2312"/>
          <w:lang w:eastAsia="zh-CN"/>
        </w:rPr>
        <w:t>进行</w:t>
      </w:r>
      <w:r>
        <w:rPr>
          <w:rFonts w:hint="eastAsia" w:ascii="仿宋_GB2312" w:hAnsi="仿宋" w:eastAsia="仿宋_GB2312"/>
        </w:rPr>
        <w:t>陈述</w:t>
      </w:r>
      <w:r>
        <w:rPr>
          <w:rFonts w:hint="eastAsia" w:ascii="仿宋_GB2312" w:hAnsi="仿宋" w:eastAsia="仿宋_GB2312"/>
          <w:lang w:eastAsia="zh-CN"/>
        </w:rPr>
        <w:t>和</w:t>
      </w:r>
      <w:r>
        <w:rPr>
          <w:rFonts w:hint="eastAsia" w:ascii="仿宋_GB2312" w:hAnsi="仿宋" w:eastAsia="仿宋_GB2312"/>
        </w:rPr>
        <w:t>申辩</w:t>
      </w:r>
      <w:r>
        <w:rPr>
          <w:rFonts w:hint="eastAsia" w:ascii="仿宋_GB2312" w:hAnsi="仿宋" w:eastAsia="仿宋_GB2312"/>
          <w:lang w:eastAsia="zh-CN"/>
        </w:rPr>
        <w:t>，</w:t>
      </w:r>
      <w:r>
        <w:rPr>
          <w:rFonts w:hint="eastAsia" w:ascii="仿宋_GB2312" w:hAnsi="仿宋" w:eastAsia="仿宋_GB2312"/>
        </w:rPr>
        <w:t>你</w:t>
      </w:r>
      <w:r>
        <w:rPr>
          <w:rFonts w:hint="eastAsia" w:ascii="仿宋_GB2312" w:hAnsi="仿宋" w:eastAsia="仿宋_GB2312"/>
          <w:lang w:eastAsia="zh-CN"/>
        </w:rPr>
        <w:t>单位</w:t>
      </w:r>
      <w:r>
        <w:rPr>
          <w:rFonts w:hint="eastAsia" w:ascii="仿宋_GB2312" w:hAnsi="仿宋" w:eastAsia="仿宋_GB2312"/>
        </w:rPr>
        <w:t>未进行陈述申辩</w:t>
      </w:r>
      <w:r>
        <w:rPr>
          <w:rFonts w:hint="eastAsia" w:ascii="仿宋_GB2312" w:hAnsi="仿宋" w:eastAsia="仿宋_GB2312"/>
          <w:lang w:eastAsia="zh-CN"/>
        </w:rPr>
        <w:t>。</w:t>
      </w:r>
    </w:p>
    <w:p>
      <w:pPr>
        <w:spacing w:line="520" w:lineRule="exact"/>
        <w:ind w:firstLine="632" w:firstLineChars="200"/>
        <w:rPr>
          <w:rFonts w:hint="eastAsia" w:ascii="黑体" w:hAnsi="黑体" w:eastAsia="黑体"/>
        </w:rPr>
      </w:pPr>
      <w:r>
        <w:rPr>
          <w:rFonts w:hint="eastAsia" w:ascii="黑体" w:hAnsi="黑体" w:eastAsia="黑体"/>
        </w:rPr>
        <w:t>二、行政处罚的依据、种类及其履行方式、期限</w:t>
      </w:r>
    </w:p>
    <w:p>
      <w:pPr>
        <w:adjustRightInd w:val="0"/>
        <w:spacing w:line="520" w:lineRule="exact"/>
        <w:ind w:firstLine="632" w:firstLineChars="200"/>
        <w:rPr>
          <w:rFonts w:hint="eastAsia" w:ascii="仿宋_GB2312" w:hAnsi="仿宋" w:eastAsia="仿宋_GB2312"/>
          <w:b/>
          <w:lang w:val="en-US" w:eastAsia="zh-CN"/>
        </w:rPr>
      </w:pPr>
      <w:r>
        <w:rPr>
          <w:rFonts w:hint="eastAsia" w:ascii="仿宋_GB2312" w:hAnsi="仿宋" w:eastAsia="仿宋_GB2312"/>
          <w:b w:val="0"/>
          <w:bCs/>
        </w:rPr>
        <w:t>依据</w:t>
      </w:r>
      <w:r>
        <w:rPr>
          <w:rFonts w:hint="eastAsia" w:ascii="仿宋_GB2312" w:hAnsi="仿宋" w:eastAsia="仿宋_GB2312"/>
          <w:b w:val="0"/>
          <w:bCs/>
          <w:lang w:eastAsia="zh-CN"/>
        </w:rPr>
        <w:t>《广东省大气污染防治条例》第八十一条</w:t>
      </w:r>
      <w:r>
        <w:rPr>
          <w:rFonts w:hint="eastAsia" w:ascii="仿宋_GB2312" w:hAnsi="仿宋" w:eastAsia="仿宋_GB2312"/>
          <w:b w:val="0"/>
          <w:bCs/>
        </w:rPr>
        <w:t>的规定，</w:t>
      </w:r>
      <w:r>
        <w:rPr>
          <w:rFonts w:hint="eastAsia" w:ascii="仿宋_GB2312" w:hAnsi="仿宋" w:eastAsia="仿宋_GB2312"/>
          <w:b/>
        </w:rPr>
        <w:t>我局决定对你</w:t>
      </w:r>
      <w:r>
        <w:rPr>
          <w:rFonts w:hint="eastAsia" w:ascii="仿宋_GB2312" w:hAnsi="仿宋" w:eastAsia="仿宋_GB2312"/>
          <w:b/>
          <w:lang w:eastAsia="zh-CN"/>
        </w:rPr>
        <w:t>单位</w:t>
      </w:r>
      <w:r>
        <w:rPr>
          <w:rFonts w:hint="eastAsia" w:ascii="仿宋_GB2312" w:hAnsi="仿宋" w:eastAsia="仿宋_GB2312"/>
          <w:b/>
        </w:rPr>
        <w:t>作出</w:t>
      </w:r>
      <w:r>
        <w:rPr>
          <w:rFonts w:hint="eastAsia" w:ascii="仿宋_GB2312" w:hAnsi="仿宋" w:eastAsia="仿宋_GB2312"/>
          <w:b/>
          <w:lang w:eastAsia="zh-CN"/>
        </w:rPr>
        <w:t>罚款贰万元</w:t>
      </w:r>
      <w:r>
        <w:rPr>
          <w:rFonts w:hint="eastAsia" w:ascii="仿宋_GB2312" w:hAnsi="仿宋" w:eastAsia="仿宋_GB2312"/>
          <w:b/>
        </w:rPr>
        <w:t>（小写：</w:t>
      </w:r>
      <w:r>
        <w:rPr>
          <w:rFonts w:hint="eastAsia" w:ascii="仿宋_GB2312" w:hAnsi="仿宋" w:eastAsia="仿宋_GB2312"/>
          <w:b/>
          <w:lang w:val="en-US" w:eastAsia="zh-CN"/>
        </w:rPr>
        <w:t>20</w:t>
      </w:r>
      <w:r>
        <w:rPr>
          <w:rFonts w:hint="eastAsia" w:ascii="仿宋_GB2312" w:hAnsi="仿宋" w:eastAsia="仿宋_GB2312"/>
          <w:b/>
        </w:rPr>
        <w:t>000元）</w:t>
      </w:r>
      <w:r>
        <w:rPr>
          <w:rFonts w:hint="eastAsia" w:ascii="仿宋_GB2312" w:hAnsi="仿宋" w:eastAsia="仿宋_GB2312"/>
          <w:b/>
          <w:lang w:eastAsia="zh-CN"/>
        </w:rPr>
        <w:t>的行政处罚决定。</w:t>
      </w:r>
    </w:p>
    <w:p>
      <w:pPr>
        <w:adjustRightInd w:val="0"/>
        <w:spacing w:line="520" w:lineRule="exact"/>
        <w:ind w:firstLine="632" w:firstLineChars="200"/>
        <w:rPr>
          <w:rFonts w:hint="eastAsia" w:ascii="仿宋_GB2312" w:hAnsi="仿宋" w:eastAsia="仿宋_GB2312" w:cs="仿宋_GB2312"/>
          <w:b/>
        </w:rPr>
      </w:pPr>
      <w:r>
        <w:rPr>
          <w:rFonts w:hint="eastAsia" w:ascii="仿宋_GB2312" w:hAnsi="仿宋" w:eastAsia="仿宋_GB2312" w:cs="仿宋_GB2312"/>
        </w:rPr>
        <w:t>根据《中华人民共和国行政处罚法》第四十六条和五十一条的规定，限于接到本处罚决定之日起15日内，到江门市生态环境局蓬江分局法规股开具《蓬江区罚款通知书》并将罚款交到中国建设银行江门市分行指定账户（账号名称：“待报解预算收入--蓬江区财政局罚没”，账号：440670301156241035009910326）。如逾期不缴纳罚款的，我局可以采取“每日按罚款数额的百分之三加处罚款”。</w:t>
      </w:r>
    </w:p>
    <w:p>
      <w:pPr>
        <w:spacing w:line="520" w:lineRule="exact"/>
        <w:ind w:firstLine="632" w:firstLineChars="200"/>
        <w:rPr>
          <w:rFonts w:hint="eastAsia" w:ascii="黑体" w:hAnsi="黑体" w:eastAsia="黑体"/>
        </w:rPr>
      </w:pPr>
      <w:r>
        <w:rPr>
          <w:rFonts w:hint="eastAsia" w:ascii="黑体" w:hAnsi="黑体" w:eastAsia="黑体"/>
        </w:rPr>
        <w:t>三、申请复议或者提起诉讼的途径和期限</w:t>
      </w:r>
    </w:p>
    <w:p>
      <w:pPr>
        <w:adjustRightInd w:val="0"/>
        <w:snapToGrid w:val="0"/>
        <w:spacing w:line="520" w:lineRule="exact"/>
        <w:ind w:firstLine="632" w:firstLineChars="200"/>
        <w:rPr>
          <w:rFonts w:hint="eastAsia" w:ascii="仿宋_GB2312" w:hAnsi="仿宋" w:eastAsia="仿宋_GB2312" w:cs="仿宋_GB2312"/>
        </w:rPr>
      </w:pPr>
      <w:r>
        <w:rPr>
          <w:rFonts w:hint="eastAsia" w:ascii="仿宋_GB2312" w:hAnsi="仿宋" w:eastAsia="仿宋_GB2312" w:cs="仿宋_GB2312"/>
        </w:rPr>
        <w:t>根据《中华人民共和国行政处罚法》第六条、《中华人民共和国行政复议法》第九条和第十二条以及《中华人民共和国行政诉讼法》第四十六条第一款的规定，如不服本处罚决定，可在接到决书定之日起60日内向江门市人民政府或者向广东省生态环境厅申请复议，也可在接到本决定书六个月内直接向江门市江海区人民法院提起行政起诉。逾期不申请行政复议，也不提起诉讼，又不履行本处罚决定的，我局将依法申请人民法院强制执行。</w:t>
      </w:r>
    </w:p>
    <w:p>
      <w:pPr>
        <w:adjustRightInd w:val="0"/>
        <w:snapToGrid w:val="0"/>
        <w:spacing w:line="520" w:lineRule="exact"/>
        <w:ind w:left="1586" w:hanging="1580" w:hangingChars="500"/>
        <w:rPr>
          <w:rFonts w:hint="eastAsia" w:ascii="仿宋_GB2312" w:hAnsi="仿宋" w:eastAsia="仿宋_GB2312"/>
          <w:b/>
        </w:rPr>
      </w:pPr>
    </w:p>
    <w:p>
      <w:pPr>
        <w:adjustRightInd w:val="0"/>
        <w:snapToGrid w:val="0"/>
        <w:spacing w:line="520" w:lineRule="exact"/>
        <w:ind w:left="1557" w:leftChars="193" w:hanging="948" w:hangingChars="300"/>
        <w:rPr>
          <w:rFonts w:hint="eastAsia" w:ascii="仿宋_GB2312" w:hAnsi="仿宋" w:eastAsia="仿宋_GB2312"/>
          <w:spacing w:val="15"/>
        </w:rPr>
      </w:pPr>
      <w:r>
        <w:rPr>
          <w:rFonts w:hint="eastAsia" w:ascii="仿宋_GB2312" w:hAnsi="仿宋" w:eastAsia="仿宋_GB2312"/>
          <w:b/>
        </w:rPr>
        <w:t>我局地址及联系电话：</w:t>
      </w:r>
      <w:r>
        <w:rPr>
          <w:rFonts w:hint="eastAsia" w:ascii="仿宋_GB2312" w:hAnsi="仿宋" w:eastAsia="仿宋_GB2312"/>
          <w:spacing w:val="15"/>
        </w:rPr>
        <w:t>江门市蓬江区胜利路154号珠西创</w:t>
      </w:r>
    </w:p>
    <w:p>
      <w:pPr>
        <w:adjustRightInd w:val="0"/>
        <w:snapToGrid w:val="0"/>
        <w:spacing w:line="520" w:lineRule="exact"/>
        <w:ind w:left="1024" w:hanging="1025" w:hangingChars="296"/>
        <w:rPr>
          <w:rFonts w:hint="eastAsia" w:ascii="仿宋_GB2312" w:hAnsi="仿宋" w:eastAsia="仿宋_GB2312"/>
          <w:spacing w:val="15"/>
        </w:rPr>
      </w:pPr>
      <w:r>
        <w:rPr>
          <w:rFonts w:hint="eastAsia" w:ascii="仿宋_GB2312" w:hAnsi="仿宋" w:eastAsia="仿宋_GB2312"/>
          <w:spacing w:val="15"/>
        </w:rPr>
        <w:t>谷自编1号楼5楼，0750-</w:t>
      </w:r>
      <w:r>
        <w:rPr>
          <w:rFonts w:hint="eastAsia" w:ascii="仿宋_GB2312" w:hAnsi="仿宋" w:eastAsia="仿宋_GB2312"/>
        </w:rPr>
        <w:t>3291707。</w:t>
      </w:r>
    </w:p>
    <w:p>
      <w:pPr>
        <w:adjustRightInd w:val="0"/>
        <w:snapToGrid w:val="0"/>
        <w:spacing w:line="520" w:lineRule="exact"/>
        <w:ind w:firstLine="632" w:firstLineChars="200"/>
        <w:rPr>
          <w:rFonts w:hint="eastAsia" w:ascii="仿宋_GB2312" w:hAnsi="仿宋" w:eastAsia="仿宋_GB2312" w:cs="仿宋_GB2312"/>
        </w:rPr>
      </w:pPr>
      <w:r>
        <w:rPr>
          <w:rFonts w:hint="eastAsia" w:ascii="仿宋_GB2312" w:hAnsi="仿宋" w:eastAsia="仿宋_GB2312" w:cs="仿宋_GB2312"/>
          <w:b/>
        </w:rPr>
        <w:t>代收银行咨询电话：</w:t>
      </w:r>
      <w:r>
        <w:rPr>
          <w:rFonts w:hint="eastAsia" w:ascii="仿宋_GB2312" w:hAnsi="仿宋" w:eastAsia="仿宋_GB2312" w:cs="仿宋_GB2312"/>
        </w:rPr>
        <w:t>0750-3500108、0750-3298368。</w:t>
      </w:r>
    </w:p>
    <w:p>
      <w:pPr>
        <w:spacing w:line="520" w:lineRule="exact"/>
        <w:rPr>
          <w:rFonts w:hint="eastAsia" w:ascii="仿宋_GB2312" w:hAnsi="仿宋" w:eastAsia="仿宋_GB2312"/>
        </w:rPr>
      </w:pPr>
    </w:p>
    <w:p>
      <w:pPr>
        <w:spacing w:line="520" w:lineRule="exact"/>
        <w:ind w:firstLine="632" w:firstLineChars="200"/>
        <w:rPr>
          <w:rFonts w:hint="eastAsia" w:ascii="仿宋_GB2312" w:hAnsi="仿宋" w:eastAsia="仿宋_GB2312"/>
        </w:rPr>
      </w:pPr>
      <w:r>
        <w:rPr>
          <w:rFonts w:ascii="仿宋_GB2312" w:hAnsi="仿宋" w:eastAsia="仿宋_GB2312"/>
        </w:rPr>
        <w:t xml:space="preserve">     </w:t>
      </w:r>
      <w:r>
        <w:rPr>
          <w:rFonts w:hint="eastAsia" w:ascii="仿宋_GB2312" w:hAnsi="仿宋" w:eastAsia="仿宋_GB2312"/>
        </w:rPr>
        <w:t xml:space="preserve">                       </w:t>
      </w:r>
      <w:r>
        <w:rPr>
          <w:rFonts w:hint="eastAsia" w:ascii="仿宋_GB2312" w:hAnsi="仿宋" w:eastAsia="仿宋_GB2312"/>
          <w:lang w:val="en-US" w:eastAsia="zh-CN"/>
        </w:rPr>
        <w:t xml:space="preserve"> </w:t>
      </w:r>
      <w:r>
        <w:rPr>
          <w:rFonts w:hint="eastAsia" w:ascii="仿宋_GB2312" w:hAnsi="仿宋" w:eastAsia="仿宋_GB2312"/>
        </w:rPr>
        <w:t>江门市生态环境局</w:t>
      </w:r>
    </w:p>
    <w:p>
      <w:pPr>
        <w:spacing w:line="520" w:lineRule="exact"/>
        <w:ind w:firstLine="632" w:firstLineChars="200"/>
        <w:rPr>
          <w:rFonts w:hint="eastAsia" w:ascii="仿宋_GB2312" w:hAnsi="仿宋" w:eastAsia="仿宋_GB2312"/>
        </w:rPr>
      </w:pPr>
      <w:r>
        <w:rPr>
          <w:rFonts w:hint="eastAsia" w:ascii="仿宋_GB2312" w:hAnsi="仿宋" w:eastAsia="仿宋_GB2312"/>
        </w:rPr>
        <w:t xml:space="preserve">                             202</w:t>
      </w:r>
      <w:r>
        <w:rPr>
          <w:rFonts w:hint="eastAsia" w:ascii="仿宋_GB2312" w:hAnsi="仿宋" w:eastAsia="仿宋_GB2312"/>
          <w:lang w:val="en-US" w:eastAsia="zh-CN"/>
        </w:rPr>
        <w:t>1</w:t>
      </w:r>
      <w:r>
        <w:rPr>
          <w:rFonts w:hint="eastAsia" w:ascii="仿宋_GB2312" w:hAnsi="仿宋" w:eastAsia="仿宋_GB2312"/>
        </w:rPr>
        <w:t>年</w:t>
      </w:r>
      <w:r>
        <w:rPr>
          <w:rFonts w:hint="eastAsia" w:ascii="仿宋_GB2312" w:hAnsi="仿宋" w:eastAsia="仿宋_GB2312"/>
          <w:lang w:val="en-US" w:eastAsia="zh-CN"/>
        </w:rPr>
        <w:t>3</w:t>
      </w:r>
      <w:r>
        <w:rPr>
          <w:rFonts w:hint="eastAsia" w:ascii="仿宋_GB2312" w:hAnsi="仿宋" w:eastAsia="仿宋_GB2312"/>
        </w:rPr>
        <w:t>月</w:t>
      </w:r>
      <w:r>
        <w:rPr>
          <w:rFonts w:hint="eastAsia" w:ascii="仿宋_GB2312" w:hAnsi="仿宋" w:eastAsia="仿宋_GB2312"/>
          <w:lang w:val="en-US" w:eastAsia="zh-CN"/>
        </w:rPr>
        <w:t>10</w:t>
      </w:r>
      <w:r>
        <w:rPr>
          <w:rFonts w:hint="eastAsia" w:ascii="仿宋_GB2312" w:hAnsi="仿宋" w:eastAsia="仿宋_GB2312"/>
        </w:rPr>
        <w:t>日</w:t>
      </w:r>
    </w:p>
    <w:p>
      <w:pPr>
        <w:spacing w:line="540" w:lineRule="exact"/>
        <w:rPr>
          <w:rFonts w:hint="eastAsia" w:ascii="仿宋_GB2312" w:eastAsia="仿宋_GB2312"/>
        </w:rPr>
      </w:pPr>
    </w:p>
    <w:tbl>
      <w:tblPr>
        <w:tblStyle w:val="3"/>
        <w:tblpPr w:leftFromText="180" w:rightFromText="180" w:vertAnchor="text" w:horzAnchor="page" w:tblpX="1584" w:tblpY="585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2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9123" w:type="dxa"/>
            <w:tcBorders>
              <w:top w:val="single" w:color="auto" w:sz="4" w:space="0"/>
              <w:left w:val="nil"/>
              <w:bottom w:val="single" w:color="auto" w:sz="4" w:space="0"/>
              <w:right w:val="nil"/>
            </w:tcBorders>
            <w:noWrap w:val="0"/>
            <w:vAlign w:val="top"/>
          </w:tcPr>
          <w:p>
            <w:pPr>
              <w:adjustRightInd w:val="0"/>
              <w:snapToGrid w:val="0"/>
              <w:spacing w:line="520" w:lineRule="exact"/>
              <w:rPr>
                <w:rFonts w:hint="eastAsia" w:ascii="仿宋_GB2312" w:hAnsi="仿宋" w:eastAsia="仿宋_GB2312"/>
              </w:rPr>
            </w:pPr>
            <w:r>
              <w:rPr>
                <w:rFonts w:hint="eastAsia" w:ascii="仿宋_GB2312" w:hAnsi="仿宋" w:eastAsia="仿宋_GB2312"/>
              </w:rPr>
              <w:t>抄送：区市场监督管理局、</w:t>
            </w:r>
            <w:r>
              <w:rPr>
                <w:rFonts w:hint="eastAsia" w:ascii="仿宋_GB2312" w:hAnsi="仿宋" w:eastAsia="仿宋_GB2312"/>
                <w:lang w:eastAsia="zh-CN"/>
              </w:rPr>
              <w:t>棠下</w:t>
            </w:r>
            <w:r>
              <w:rPr>
                <w:rFonts w:hint="eastAsia" w:ascii="仿宋_GB2312" w:hAnsi="仿宋" w:eastAsia="仿宋_GB2312"/>
              </w:rPr>
              <w:t>镇人民政府</w:t>
            </w:r>
          </w:p>
        </w:tc>
      </w:tr>
    </w:tbl>
    <w:p/>
    <w:sectPr>
      <w:footerReference r:id="rId3" w:type="default"/>
      <w:footerReference r:id="rId4" w:type="even"/>
      <w:pgSz w:w="11906" w:h="16838"/>
      <w:pgMar w:top="1417" w:right="1474" w:bottom="1417" w:left="1474" w:header="851" w:footer="567"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文鼎CS大宋">
    <w:altName w:val="宋体"/>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jc w:val="center"/>
      <w:rPr>
        <w:rStyle w:val="5"/>
        <w:rFonts w:ascii="宋体" w:hAnsi="宋体"/>
        <w:sz w:val="28"/>
        <w:szCs w:val="28"/>
      </w:rPr>
    </w:pP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- 3 -</w:t>
    </w:r>
    <w:r>
      <w:rPr>
        <w:rFonts w:ascii="宋体" w:hAnsi="宋体"/>
        <w:sz w:val="28"/>
        <w:szCs w:val="28"/>
      </w:rPr>
      <w:fldChar w:fldCharType="end"/>
    </w:r>
  </w:p>
  <w:p>
    <w:pPr>
      <w:pStyle w:val="2"/>
      <w:ind w:right="360" w:firstLine="360"/>
      <w:rPr>
        <w:rFonts w:hint="eastAsia"/>
      </w:rPr>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sz w:val="28"/>
        <w:szCs w:val="28"/>
      </w:rPr>
    </w:pP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- 2 -</w:t>
    </w:r>
    <w:r>
      <w:rPr>
        <w:sz w:val="28"/>
        <w:szCs w:val="28"/>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A60100"/>
    <w:rsid w:val="01A60100"/>
    <w:rsid w:val="20B52945"/>
    <w:rsid w:val="29F74195"/>
    <w:rsid w:val="324E70EE"/>
    <w:rsid w:val="568777AB"/>
    <w:rsid w:val="71A8531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华文仿宋"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qFormat/>
    <w:uiPriority w:val="0"/>
    <w:rPr>
      <w:rFonts w:ascii="仿宋_GB2312" w:eastAsia="仿宋_GB231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2021-03-10T01:14:00Z</dcterms:created>
  <dc:creator>toshiba</dc:creator>
  <cp:lastModifiedBy>萌cry你虎哥</cp:lastModifiedBy>
  <dcterms:modified xsi:type="dcterms:W3CDTF">2021-03-11T07:01:56Z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337628767_btnclosed</vt:lpwstr>
  </property>
</Properties>
</file>